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52A4B" w:rsidRDefault="00F92268" w:rsidP="00F246C7">
            <w:pPr>
              <w:pStyle w:val="RefTableData"/>
            </w:pPr>
            <w:r w:rsidRPr="00A52A4B">
              <w:t>Reference number(s)</w:t>
            </w:r>
          </w:p>
        </w:tc>
      </w:tr>
      <w:tr w:rsidR="00A52A4B"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388B5FA" w:rsidR="00A52A4B" w:rsidRPr="00A52A4B" w:rsidRDefault="00A52A4B" w:rsidP="00A52A4B">
            <w:pPr>
              <w:pStyle w:val="RefTableHeader"/>
            </w:pPr>
            <w:r w:rsidRPr="00A52A4B">
              <w:t>1795-A</w:t>
            </w:r>
          </w:p>
        </w:tc>
      </w:tr>
    </w:tbl>
    <w:p w14:paraId="74FBA5B4" w14:textId="77777777" w:rsidR="00051356" w:rsidRDefault="00051356" w:rsidP="00A672B3">
      <w:pPr>
        <w:pStyle w:val="BodyText"/>
        <w:rPr>
          <w:b/>
          <w:bCs/>
          <w:sz w:val="16"/>
          <w:szCs w:val="16"/>
        </w:rPr>
        <w:sectPr w:rsidR="00051356" w:rsidSect="008845EF">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4254262F" w:rsidR="004B15BB" w:rsidRPr="00A52A4B" w:rsidRDefault="00A52A4B" w:rsidP="00A52A4B">
      <w:pPr>
        <w:pStyle w:val="Heading1"/>
      </w:pPr>
      <w:r w:rsidRPr="00B92673">
        <w:t>Specialty Guideline Management</w:t>
      </w:r>
      <w:r>
        <w:br/>
      </w:r>
      <w:r w:rsidR="00D803A8">
        <w:t>bexaroten</w:t>
      </w:r>
      <w:r w:rsidR="007E073B">
        <w:t>e</w:t>
      </w:r>
      <w:r w:rsidR="00D803A8">
        <w:t>-</w:t>
      </w:r>
      <w:r>
        <w:t>Targretin</w:t>
      </w:r>
    </w:p>
    <w:p w14:paraId="78861C92" w14:textId="7BC00214" w:rsidR="00203468" w:rsidRPr="00BD1CC1" w:rsidRDefault="00C64534" w:rsidP="008E0F0D">
      <w:pPr>
        <w:pStyle w:val="Heading2"/>
      </w:pPr>
      <w:r w:rsidRPr="00BD1CC1">
        <w:t xml:space="preserve">Products Referenced by this </w:t>
      </w:r>
      <w:r w:rsidR="00501602" w:rsidRPr="00BD1CC1">
        <w:t>Document</w:t>
      </w:r>
    </w:p>
    <w:p w14:paraId="5455152B" w14:textId="3F5B487E"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5341C6" w:rsidRPr="00BD1CC1">
        <w:t>O</w:t>
      </w:r>
      <w:r w:rsidR="005341C6">
        <w:t>ver-the-counter</w:t>
      </w:r>
      <w:r w:rsidR="005341C6" w:rsidRPr="00BD1CC1">
        <w:t xml:space="preserve"> </w:t>
      </w:r>
      <w:r w:rsidR="005341C6">
        <w:t xml:space="preserve">(OTC)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64330B2C" w:rsidR="00585FFF" w:rsidRPr="00BD1CC1" w:rsidRDefault="00C65CD1" w:rsidP="00E82ABA">
            <w:pPr>
              <w:pStyle w:val="TableDataUnpadded"/>
            </w:pPr>
            <w:r w:rsidRPr="00C65CD1">
              <w:t>Targretin</w:t>
            </w:r>
            <w:r>
              <w:t xml:space="preserve"> </w:t>
            </w:r>
            <w:r w:rsidRPr="00C65CD1">
              <w:t>capsules</w:t>
            </w:r>
          </w:p>
        </w:tc>
        <w:tc>
          <w:tcPr>
            <w:tcW w:w="5595" w:type="dxa"/>
          </w:tcPr>
          <w:p w14:paraId="7E26A004" w14:textId="75BD3185" w:rsidR="00585FFF" w:rsidRPr="00BD1CC1" w:rsidRDefault="007E073B" w:rsidP="00FD305E">
            <w:pPr>
              <w:pStyle w:val="TableDataUnpadded"/>
              <w:tabs>
                <w:tab w:val="left" w:pos="1632"/>
              </w:tabs>
            </w:pPr>
            <w:r>
              <w:t>bexarotene capsules</w:t>
            </w:r>
          </w:p>
        </w:tc>
      </w:tr>
      <w:tr w:rsidR="00D21D0C" w:rsidRPr="00BD1CC1" w14:paraId="420A61B5" w14:textId="77777777" w:rsidTr="000C5A6F">
        <w:trPr>
          <w:cantSplit/>
        </w:trPr>
        <w:tc>
          <w:tcPr>
            <w:tcW w:w="5265" w:type="dxa"/>
          </w:tcPr>
          <w:p w14:paraId="064084F6" w14:textId="30D3BF0D" w:rsidR="00D21D0C" w:rsidRPr="00BD1CC1" w:rsidRDefault="00C65CD1" w:rsidP="00E82ABA">
            <w:pPr>
              <w:pStyle w:val="TableDataUnpadded"/>
            </w:pPr>
            <w:r w:rsidRPr="00C65CD1">
              <w:t>Targretin gel 1%</w:t>
            </w:r>
          </w:p>
        </w:tc>
        <w:tc>
          <w:tcPr>
            <w:tcW w:w="5595" w:type="dxa"/>
          </w:tcPr>
          <w:p w14:paraId="5BE6D872" w14:textId="03DC54D5" w:rsidR="00D21D0C" w:rsidRPr="00BD1CC1" w:rsidRDefault="007E073B" w:rsidP="00E82ABA">
            <w:pPr>
              <w:pStyle w:val="TableDataUnpadded"/>
            </w:pPr>
            <w:r>
              <w:t>bexarotene gel 1%</w:t>
            </w:r>
          </w:p>
        </w:tc>
      </w:tr>
    </w:tbl>
    <w:bookmarkEnd w:id="0"/>
    <w:p w14:paraId="14CE6108" w14:textId="77E58089" w:rsidR="00FC1AAD" w:rsidRDefault="00ED052F" w:rsidP="00FF66BF">
      <w:pPr>
        <w:pStyle w:val="Heading2"/>
        <w:tabs>
          <w:tab w:val="left" w:pos="9195"/>
        </w:tabs>
      </w:pPr>
      <w:r>
        <w:t>Indications</w:t>
      </w:r>
    </w:p>
    <w:p w14:paraId="0424214F" w14:textId="388CAF7A" w:rsidR="00C65CD1" w:rsidRPr="00C65CD1" w:rsidRDefault="00C65CD1" w:rsidP="00C65CD1">
      <w:pPr>
        <w:pStyle w:val="BodyText"/>
      </w:pPr>
      <w:r w:rsidRPr="00C65CD1">
        <w:t>The indications below including FDA-approved indications and compendial uses are considered a covered benefit provided that all the approval criteria are met and the member has no exclusions to the prescribed therapy</w:t>
      </w:r>
      <w:r>
        <w:t>.</w:t>
      </w:r>
    </w:p>
    <w:p w14:paraId="134B5687" w14:textId="2EFB121A" w:rsidR="00ED052F" w:rsidRPr="00BD1CC1" w:rsidRDefault="00ED052F" w:rsidP="00321B40">
      <w:pPr>
        <w:pStyle w:val="Heading3"/>
        <w:keepNext w:val="0"/>
        <w:widowControl w:val="0"/>
      </w:pPr>
      <w:r w:rsidRPr="00BD1CC1">
        <w:t>FDA-</w:t>
      </w:r>
      <w:r w:rsidR="00803856">
        <w:t>A</w:t>
      </w:r>
      <w:r w:rsidRPr="00BD1CC1">
        <w:t>pproved Indications</w:t>
      </w:r>
      <w:r w:rsidR="00C65CD1" w:rsidRPr="00C65CD1">
        <w:rPr>
          <w:vertAlign w:val="superscript"/>
        </w:rPr>
        <w:t>1-</w:t>
      </w:r>
      <w:r w:rsidR="00D21016">
        <w:rPr>
          <w:vertAlign w:val="superscript"/>
        </w:rPr>
        <w:t>4</w:t>
      </w:r>
    </w:p>
    <w:p w14:paraId="02B0F6A4" w14:textId="2BF8EFE7" w:rsidR="00C65CD1" w:rsidRDefault="00C65CD1" w:rsidP="00321B40">
      <w:pPr>
        <w:pStyle w:val="ListParagraph"/>
        <w:numPr>
          <w:ilvl w:val="0"/>
          <w:numId w:val="26"/>
        </w:numPr>
      </w:pPr>
      <w:r>
        <w:t>Targretin/bexarotene capsules are indicated for the treatment of cutaneous manifestations of cutaneous T-cell lymphoma (CTCL) in patients who are refractory to at least one prior systemic therapy.</w:t>
      </w:r>
    </w:p>
    <w:p w14:paraId="4C434745" w14:textId="59A64088" w:rsidR="00ED052F" w:rsidRDefault="00C65CD1" w:rsidP="00321B40">
      <w:pPr>
        <w:pStyle w:val="ListParagraph"/>
        <w:numPr>
          <w:ilvl w:val="0"/>
          <w:numId w:val="26"/>
        </w:numPr>
      </w:pPr>
      <w:r>
        <w:t>Targretin</w:t>
      </w:r>
      <w:r w:rsidR="007E073B">
        <w:t>/bexarotene</w:t>
      </w:r>
      <w:r>
        <w:t xml:space="preserve"> gel is indicated for the topical treatment of cutaneous lesions in patients with CTCL (Stage IA and IB) who have refractory or persistent disease after other therapies or who have not tolerated other therapies.</w:t>
      </w:r>
    </w:p>
    <w:p w14:paraId="0B5EC236" w14:textId="70F23547" w:rsidR="0044763A" w:rsidRPr="00803856" w:rsidRDefault="009F2EF1" w:rsidP="00DD5F3A">
      <w:pPr>
        <w:pStyle w:val="Heading3"/>
        <w:keepNext w:val="0"/>
      </w:pPr>
      <w:r>
        <w:t>Compendial Uses</w:t>
      </w:r>
      <w:r w:rsidR="00D21016">
        <w:rPr>
          <w:vertAlign w:val="superscript"/>
        </w:rPr>
        <w:t>5</w:t>
      </w:r>
    </w:p>
    <w:p w14:paraId="5F50D336" w14:textId="08183A80" w:rsidR="00C65CD1" w:rsidRDefault="00C65CD1" w:rsidP="00DD5F3A">
      <w:pPr>
        <w:pStyle w:val="Heading4"/>
        <w:keepNext w:val="0"/>
      </w:pPr>
      <w:r>
        <w:t>Targretin/bexarotene capsules</w:t>
      </w:r>
    </w:p>
    <w:p w14:paraId="3AC3A9FD" w14:textId="24890237" w:rsidR="00C65CD1" w:rsidRDefault="00C65CD1" w:rsidP="00DD5F3A">
      <w:pPr>
        <w:pStyle w:val="ListParagraph"/>
        <w:numPr>
          <w:ilvl w:val="0"/>
          <w:numId w:val="33"/>
        </w:numPr>
      </w:pPr>
      <w:r>
        <w:t>Mycosis fungoides (MF)</w:t>
      </w:r>
    </w:p>
    <w:p w14:paraId="7F5D33E9" w14:textId="3726B6EC" w:rsidR="00C65CD1" w:rsidRDefault="00C65CD1" w:rsidP="00DD5F3A">
      <w:pPr>
        <w:pStyle w:val="ListParagraph"/>
        <w:numPr>
          <w:ilvl w:val="0"/>
          <w:numId w:val="33"/>
        </w:numPr>
      </w:pPr>
      <w:r>
        <w:lastRenderedPageBreak/>
        <w:t>Sézary syndrome (SS)</w:t>
      </w:r>
    </w:p>
    <w:p w14:paraId="36347903" w14:textId="395D8C12" w:rsidR="004B365B" w:rsidRDefault="004B365B" w:rsidP="00DD5F3A">
      <w:pPr>
        <w:pStyle w:val="ListParagraph"/>
        <w:numPr>
          <w:ilvl w:val="0"/>
          <w:numId w:val="33"/>
        </w:numPr>
      </w:pPr>
      <w:r>
        <w:t>Subcutaneous panniculitis-like T-cell lymphoma</w:t>
      </w:r>
    </w:p>
    <w:p w14:paraId="359D6C27" w14:textId="63444563" w:rsidR="00C65CD1" w:rsidRDefault="00C65CD1" w:rsidP="00DD5F3A">
      <w:pPr>
        <w:pStyle w:val="ListParagraph"/>
        <w:numPr>
          <w:ilvl w:val="0"/>
          <w:numId w:val="33"/>
        </w:numPr>
      </w:pPr>
      <w:r>
        <w:t>Primary cutaneous CD30+ T-cell lymphoproliferative disorders:</w:t>
      </w:r>
    </w:p>
    <w:p w14:paraId="734AED68" w14:textId="4D26D602" w:rsidR="00C65CD1" w:rsidRDefault="00C65CD1" w:rsidP="00DD5F3A">
      <w:pPr>
        <w:pStyle w:val="ListParagraph"/>
        <w:numPr>
          <w:ilvl w:val="1"/>
          <w:numId w:val="30"/>
        </w:numPr>
      </w:pPr>
      <w:r>
        <w:t>Primary cutaneous anaplastic large cell lymphoma (ALCL)</w:t>
      </w:r>
    </w:p>
    <w:p w14:paraId="1C82956F" w14:textId="65ECEBE8" w:rsidR="00C65CD1" w:rsidRDefault="00C65CD1" w:rsidP="00DD5F3A">
      <w:pPr>
        <w:pStyle w:val="ListParagraph"/>
        <w:numPr>
          <w:ilvl w:val="1"/>
          <w:numId w:val="30"/>
        </w:numPr>
      </w:pPr>
      <w:r>
        <w:t>Lymphomatoid papulosis (LyP)</w:t>
      </w:r>
    </w:p>
    <w:p w14:paraId="58AB9778" w14:textId="0ADD1F61" w:rsidR="00C65CD1" w:rsidRDefault="00C65CD1" w:rsidP="0061502D">
      <w:pPr>
        <w:pStyle w:val="Heading4"/>
      </w:pPr>
      <w:r>
        <w:t>Targretin</w:t>
      </w:r>
      <w:r w:rsidR="007E073B">
        <w:t>/bexarotene</w:t>
      </w:r>
      <w:r>
        <w:t xml:space="preserve"> gel</w:t>
      </w:r>
    </w:p>
    <w:p w14:paraId="49DEAFC2" w14:textId="55B69901" w:rsidR="00C65CD1" w:rsidRDefault="00C65CD1" w:rsidP="006C0A68">
      <w:pPr>
        <w:pStyle w:val="ListParagraph"/>
        <w:keepNext/>
        <w:numPr>
          <w:ilvl w:val="0"/>
          <w:numId w:val="31"/>
        </w:numPr>
      </w:pPr>
      <w:r>
        <w:t>Mycosis fungoides (MF)</w:t>
      </w:r>
    </w:p>
    <w:p w14:paraId="7F098528" w14:textId="5918AE4D" w:rsidR="00C65CD1" w:rsidRDefault="00C65CD1" w:rsidP="006C0A68">
      <w:pPr>
        <w:pStyle w:val="ListParagraph"/>
        <w:keepNext/>
        <w:numPr>
          <w:ilvl w:val="0"/>
          <w:numId w:val="31"/>
        </w:numPr>
      </w:pPr>
      <w:r>
        <w:t>Sézary syndrome (SS)</w:t>
      </w:r>
    </w:p>
    <w:p w14:paraId="2B464E03" w14:textId="16F2C9B9" w:rsidR="00C65CD1" w:rsidRDefault="004B365B" w:rsidP="006C0A68">
      <w:pPr>
        <w:pStyle w:val="ListParagraph"/>
        <w:keepNext/>
        <w:numPr>
          <w:ilvl w:val="0"/>
          <w:numId w:val="31"/>
        </w:numPr>
      </w:pPr>
      <w:r>
        <w:t>S</w:t>
      </w:r>
      <w:r w:rsidR="00C65CD1">
        <w:t>moldering adult T-cell leukemia/lymphoma (ATLL)</w:t>
      </w:r>
    </w:p>
    <w:p w14:paraId="432B93F1" w14:textId="1439A814" w:rsidR="00C65CD1" w:rsidRDefault="00C65CD1" w:rsidP="006C0A68">
      <w:pPr>
        <w:pStyle w:val="ListParagraph"/>
        <w:keepNext/>
        <w:numPr>
          <w:ilvl w:val="0"/>
          <w:numId w:val="31"/>
        </w:numPr>
      </w:pPr>
      <w:r>
        <w:t>Primary cutaneous B-cell lymphoma:</w:t>
      </w:r>
    </w:p>
    <w:p w14:paraId="79D76FFF" w14:textId="30816AC7" w:rsidR="00C65CD1" w:rsidRDefault="00C65CD1" w:rsidP="006C0A68">
      <w:pPr>
        <w:pStyle w:val="ListParagraph"/>
        <w:keepNext/>
        <w:numPr>
          <w:ilvl w:val="1"/>
          <w:numId w:val="32"/>
        </w:numPr>
      </w:pPr>
      <w:r>
        <w:t>Primary cutaneous marginal zone lymphoma</w:t>
      </w:r>
      <w:r w:rsidR="00F911C3">
        <w:t xml:space="preserve"> </w:t>
      </w:r>
    </w:p>
    <w:p w14:paraId="1F11EA6A" w14:textId="0F4DA1B9" w:rsidR="009A5649" w:rsidRPr="00BD1CC1" w:rsidRDefault="00C65CD1" w:rsidP="006C0A68">
      <w:pPr>
        <w:pStyle w:val="ListParagraph"/>
        <w:keepNext/>
        <w:numPr>
          <w:ilvl w:val="1"/>
          <w:numId w:val="32"/>
        </w:numPr>
      </w:pPr>
      <w:r>
        <w:t>Primary cutaneous follicle center lymphoma</w:t>
      </w:r>
    </w:p>
    <w:p w14:paraId="0D5A9DD5" w14:textId="02F1B98C" w:rsidR="009A5649" w:rsidRPr="00BD1CC1" w:rsidRDefault="009A5649" w:rsidP="009A5649">
      <w:pPr>
        <w:pStyle w:val="BodyText"/>
        <w:rPr>
          <w:rFonts w:eastAsia="Arial"/>
        </w:rPr>
      </w:pPr>
      <w:r w:rsidRPr="00BD1CC1">
        <w:t xml:space="preserve">All other indications are considered experimental/investigational and </w:t>
      </w:r>
      <w:r w:rsidRPr="00BD1CC1">
        <w:rPr>
          <w:rFonts w:eastAsia="Arial"/>
        </w:rPr>
        <w:t>not medically necessary.</w:t>
      </w:r>
    </w:p>
    <w:p w14:paraId="50A38FBA" w14:textId="420BAF71" w:rsidR="00FE0C63" w:rsidRPr="00803856" w:rsidRDefault="00685107" w:rsidP="00E050E1">
      <w:pPr>
        <w:pStyle w:val="Heading2"/>
      </w:pPr>
      <w:r>
        <w:t>Coverage Criteria</w:t>
      </w:r>
    </w:p>
    <w:p w14:paraId="47B46663" w14:textId="0E67DEC5" w:rsidR="00B64659" w:rsidRPr="00B64659" w:rsidRDefault="00B64659" w:rsidP="00803856">
      <w:pPr>
        <w:pStyle w:val="Heading3"/>
      </w:pPr>
      <w:r w:rsidRPr="00B64659">
        <w:t>Targretin/bexarotene Capsules</w:t>
      </w:r>
    </w:p>
    <w:p w14:paraId="6EC8CC43" w14:textId="7B318B74" w:rsidR="00B64659" w:rsidRPr="00B64659" w:rsidRDefault="00B64659" w:rsidP="00803856">
      <w:pPr>
        <w:pStyle w:val="Heading4"/>
      </w:pPr>
      <w:r w:rsidRPr="00B64659">
        <w:t>Mycosis Fungoides (MF)/Sézary Syndrome (SS)</w:t>
      </w:r>
      <w:r w:rsidRPr="00803856">
        <w:rPr>
          <w:vertAlign w:val="superscript"/>
        </w:rPr>
        <w:t>1</w:t>
      </w:r>
      <w:r w:rsidR="00D21016">
        <w:rPr>
          <w:vertAlign w:val="superscript"/>
        </w:rPr>
        <w:t>,2,5</w:t>
      </w:r>
    </w:p>
    <w:p w14:paraId="4B5A7E97" w14:textId="5C9F6512" w:rsidR="00B64659" w:rsidRPr="00B64659" w:rsidRDefault="00B64659" w:rsidP="00803856">
      <w:pPr>
        <w:pStyle w:val="BodyText"/>
      </w:pPr>
      <w:r w:rsidRPr="00B64659">
        <w:t>Authorization of 12 months may be granted for treatment of MF or SS.</w:t>
      </w:r>
    </w:p>
    <w:p w14:paraId="25110CFF" w14:textId="6A145065" w:rsidR="007B02AE" w:rsidRPr="00B64659" w:rsidRDefault="007B02AE" w:rsidP="007B02AE">
      <w:pPr>
        <w:pStyle w:val="Heading4"/>
      </w:pPr>
      <w:r>
        <w:t>Subcutaneous Panniculitis-like T-cell Lymphoma</w:t>
      </w:r>
      <w:r w:rsidR="00227847" w:rsidRPr="00803856">
        <w:rPr>
          <w:vertAlign w:val="superscript"/>
        </w:rPr>
        <w:t>1</w:t>
      </w:r>
      <w:r w:rsidR="00227847">
        <w:rPr>
          <w:vertAlign w:val="superscript"/>
        </w:rPr>
        <w:t>,2,5</w:t>
      </w:r>
    </w:p>
    <w:p w14:paraId="1A2C4990" w14:textId="77777777" w:rsidR="007B02AE" w:rsidRPr="00B64659" w:rsidRDefault="007B02AE" w:rsidP="007B02AE">
      <w:pPr>
        <w:pStyle w:val="BodyText"/>
      </w:pPr>
      <w:r w:rsidRPr="00B64659">
        <w:t xml:space="preserve">Authorization of 12 months may be granted for treatment of </w:t>
      </w:r>
      <w:r>
        <w:t>subcutaneous panniculitis-like T-cell lymphoma</w:t>
      </w:r>
      <w:r w:rsidRPr="00B64659">
        <w:t xml:space="preserve"> as a single agent</w:t>
      </w:r>
      <w:r>
        <w:t xml:space="preserve"> or in combination with prednisone</w:t>
      </w:r>
      <w:r w:rsidRPr="00B64659">
        <w:t>.</w:t>
      </w:r>
    </w:p>
    <w:p w14:paraId="69B737A0" w14:textId="36BFEBC2" w:rsidR="00B64659" w:rsidRPr="00B64659" w:rsidRDefault="00B64659" w:rsidP="00803856">
      <w:pPr>
        <w:pStyle w:val="Heading4"/>
      </w:pPr>
      <w:r w:rsidRPr="00B64659">
        <w:t>Primary Cutaneous Anaplastic Large Cell Lymphoma (ALCL)/Lymphomatoid Papulosis (LyP)</w:t>
      </w:r>
      <w:r w:rsidR="00227847">
        <w:rPr>
          <w:vertAlign w:val="superscript"/>
        </w:rPr>
        <w:t>5</w:t>
      </w:r>
    </w:p>
    <w:p w14:paraId="40FFB5DD" w14:textId="7F7A2CD4" w:rsidR="00B64659" w:rsidRDefault="00B64659" w:rsidP="00803856">
      <w:pPr>
        <w:pStyle w:val="BodyText"/>
      </w:pPr>
      <w:r w:rsidRPr="00B64659">
        <w:t>Authorization of 12 months may be granted for treatment of primary cutaneous ALCL or LyP as a single agent.</w:t>
      </w:r>
    </w:p>
    <w:p w14:paraId="2CF0A68B" w14:textId="1E50B6DC" w:rsidR="00B64659" w:rsidRPr="004D10A2" w:rsidRDefault="00B64659" w:rsidP="00803856">
      <w:pPr>
        <w:pStyle w:val="Heading3"/>
        <w:rPr>
          <w:lang w:val="sv-SE"/>
        </w:rPr>
      </w:pPr>
      <w:r w:rsidRPr="004D10A2">
        <w:rPr>
          <w:lang w:val="sv-SE"/>
        </w:rPr>
        <w:t>Targretin Gel</w:t>
      </w:r>
    </w:p>
    <w:p w14:paraId="2731F25F" w14:textId="34C3B183" w:rsidR="00B64659" w:rsidRPr="004D10A2" w:rsidRDefault="00B64659" w:rsidP="00803856">
      <w:pPr>
        <w:pStyle w:val="Heading4"/>
        <w:rPr>
          <w:lang w:val="sv-SE"/>
        </w:rPr>
      </w:pPr>
      <w:r w:rsidRPr="004D10A2">
        <w:rPr>
          <w:lang w:val="sv-SE"/>
        </w:rPr>
        <w:t>Mycosis Fungoides (MF)/Sézary syndrome (SS)</w:t>
      </w:r>
      <w:r w:rsidR="00227847" w:rsidRPr="00227847">
        <w:rPr>
          <w:vertAlign w:val="superscript"/>
        </w:rPr>
        <w:t xml:space="preserve"> </w:t>
      </w:r>
      <w:r w:rsidR="00227847" w:rsidRPr="00803856">
        <w:rPr>
          <w:vertAlign w:val="superscript"/>
        </w:rPr>
        <w:t>1</w:t>
      </w:r>
      <w:r w:rsidR="00227847">
        <w:rPr>
          <w:vertAlign w:val="superscript"/>
        </w:rPr>
        <w:t>,2,5</w:t>
      </w:r>
    </w:p>
    <w:p w14:paraId="2AF426F1" w14:textId="2FD8C58B" w:rsidR="00B64659" w:rsidRPr="00B64659" w:rsidRDefault="00B64659" w:rsidP="00803856">
      <w:pPr>
        <w:pStyle w:val="BodyText"/>
      </w:pPr>
      <w:r w:rsidRPr="00B64659">
        <w:t>Authorization of 12 months may be granted for treatment of MF or SS.</w:t>
      </w:r>
    </w:p>
    <w:p w14:paraId="7386AE4F" w14:textId="2A1F2E67" w:rsidR="00B64659" w:rsidRPr="00B64659" w:rsidRDefault="00B64659" w:rsidP="00803856">
      <w:pPr>
        <w:pStyle w:val="Heading4"/>
      </w:pPr>
      <w:r w:rsidRPr="00B64659">
        <w:t>Adult T-cell Leukemia/Lymphoma (ATLL)</w:t>
      </w:r>
      <w:r w:rsidRPr="00803856">
        <w:rPr>
          <w:vertAlign w:val="superscript"/>
        </w:rPr>
        <w:t>5</w:t>
      </w:r>
    </w:p>
    <w:p w14:paraId="1744F638" w14:textId="0943F525" w:rsidR="00B64659" w:rsidRPr="00B64659" w:rsidRDefault="00B64659" w:rsidP="00803856">
      <w:pPr>
        <w:pStyle w:val="BodyText"/>
      </w:pPr>
      <w:r w:rsidRPr="00B64659">
        <w:t>Authorization of 12 months may be granted for treatment of smoldering ATLL.</w:t>
      </w:r>
    </w:p>
    <w:p w14:paraId="4BA677D8" w14:textId="1983D6BD" w:rsidR="00B64659" w:rsidRPr="00B64659" w:rsidRDefault="00B64659" w:rsidP="00803856">
      <w:pPr>
        <w:pStyle w:val="Heading4"/>
      </w:pPr>
      <w:r w:rsidRPr="00B64659">
        <w:t>Primary Cutaneous B-cell Lymphoma</w:t>
      </w:r>
      <w:r w:rsidRPr="00803856">
        <w:rPr>
          <w:vertAlign w:val="superscript"/>
        </w:rPr>
        <w:t>5</w:t>
      </w:r>
    </w:p>
    <w:p w14:paraId="554B6E8F" w14:textId="5D82D075" w:rsidR="00B836B0" w:rsidRPr="00B64659" w:rsidRDefault="00B64659" w:rsidP="00803856">
      <w:pPr>
        <w:pStyle w:val="BodyText"/>
      </w:pPr>
      <w:r w:rsidRPr="00B64659">
        <w:t>Authorization of 12 months may be granted for treatment of primary cutaneous marginal zone lymphoma or primary cutaneous follicle center lymphoma.</w:t>
      </w:r>
    </w:p>
    <w:p w14:paraId="3A643EC3" w14:textId="0AED64B2" w:rsidR="00A501AC" w:rsidRPr="00BD1CC1" w:rsidRDefault="00A501AC" w:rsidP="00A501AC">
      <w:pPr>
        <w:pStyle w:val="Heading2"/>
      </w:pPr>
      <w:r w:rsidRPr="00BD1CC1">
        <w:t>Continuation of Therapy</w:t>
      </w:r>
    </w:p>
    <w:p w14:paraId="32C8905D" w14:textId="1623E1A1" w:rsidR="00A501AC" w:rsidRPr="003D46B0" w:rsidRDefault="00B64659" w:rsidP="003D46B0">
      <w:pPr>
        <w:pStyle w:val="BodyText"/>
      </w:pPr>
      <w:r w:rsidRPr="00B64659">
        <w:t xml:space="preserve">Authorization of 12 months may be granted for continued treatment in members requesting reauthorization for an indication listed in </w:t>
      </w:r>
      <w:r w:rsidR="00DC0F10">
        <w:t>Coverage Criteria section</w:t>
      </w:r>
      <w:r w:rsidRPr="00B64659">
        <w:t xml:space="preserve"> when there is no evidence of unacceptable toxicity or disease progression while on the current regimen.</w:t>
      </w:r>
    </w:p>
    <w:p w14:paraId="10DA4309" w14:textId="09317346" w:rsidR="00FF66BF" w:rsidRPr="008D1B34" w:rsidRDefault="00FF66BF" w:rsidP="00FF66BF">
      <w:pPr>
        <w:pStyle w:val="Heading2"/>
      </w:pPr>
      <w:r w:rsidRPr="008D1B34">
        <w:t>References</w:t>
      </w:r>
    </w:p>
    <w:p w14:paraId="432D5151" w14:textId="324157B4" w:rsidR="00B64659" w:rsidRDefault="00B64659" w:rsidP="00B64659">
      <w:pPr>
        <w:pStyle w:val="ReferenceOrdered"/>
      </w:pPr>
      <w:r>
        <w:t>Targretin capsules [package insert]. St. Petersburg, FL: Catalent Pharma Solutions LLC; April 2020.</w:t>
      </w:r>
    </w:p>
    <w:p w14:paraId="59E76FA8" w14:textId="17930BE1" w:rsidR="00D21016" w:rsidRDefault="00D21016" w:rsidP="00B64659">
      <w:pPr>
        <w:pStyle w:val="ReferenceOrdered"/>
      </w:pPr>
      <w:r>
        <w:t>Bexarotene capsule [package insert]. Bridgewater, NJ: Amneal Pharmaceuticals LLC; December 2022.</w:t>
      </w:r>
    </w:p>
    <w:p w14:paraId="3C95603A" w14:textId="05FC11BE" w:rsidR="00B64659" w:rsidRDefault="00B64659" w:rsidP="00B64659">
      <w:pPr>
        <w:pStyle w:val="ReferenceOrdered"/>
      </w:pPr>
      <w:r>
        <w:t>Targretin gel [package insert]. San Antonio, TX: DPT Laboratories, Ltd.; February 2020.</w:t>
      </w:r>
    </w:p>
    <w:p w14:paraId="1A79C2EB" w14:textId="73F12A98" w:rsidR="00B64659" w:rsidRDefault="00B64659" w:rsidP="00DC26C4">
      <w:pPr>
        <w:pStyle w:val="ReferenceOrdered"/>
      </w:pPr>
      <w:r>
        <w:t>Bexarotene gel [package insert]. Bridgewater, NJ: Amneal Pharmaceuticals LLC; December 2023.</w:t>
      </w:r>
    </w:p>
    <w:p w14:paraId="26E25A0F" w14:textId="1725E4FC" w:rsidR="00FF66BF" w:rsidRDefault="00B64659" w:rsidP="00B64659">
      <w:pPr>
        <w:pStyle w:val="ReferenceOrdered"/>
      </w:pPr>
      <w:r>
        <w:t xml:space="preserve">The NCCN Drugs &amp; Biologics Compendium® © 2024 National Comprehensive Cancer Network, Inc. Available at: https://www.nccn.org. Accessed </w:t>
      </w:r>
      <w:r w:rsidR="00D21016">
        <w:t>December 17</w:t>
      </w:r>
      <w:r>
        <w:t>, 2024.</w:t>
      </w:r>
    </w:p>
    <w:sectPr w:rsidR="00FF66BF" w:rsidSect="006A4BE4">
      <w:headerReference w:type="first" r:id="rId18"/>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10EF4" w14:textId="77777777" w:rsidR="003D3C0A" w:rsidRDefault="003D3C0A">
      <w:r>
        <w:separator/>
      </w:r>
    </w:p>
  </w:endnote>
  <w:endnote w:type="continuationSeparator" w:id="0">
    <w:p w14:paraId="290D7CF0" w14:textId="77777777" w:rsidR="003D3C0A" w:rsidRDefault="003D3C0A">
      <w:r>
        <w:continuationSeparator/>
      </w:r>
    </w:p>
  </w:endnote>
  <w:endnote w:type="continuationNotice" w:id="1">
    <w:p w14:paraId="6D629930" w14:textId="77777777" w:rsidR="003D3C0A" w:rsidRDefault="003D3C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293D6" w14:textId="77777777" w:rsidR="006A4BE4" w:rsidRDefault="006A4B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52ACB" w14:textId="4B4CD275" w:rsidR="00803856" w:rsidRPr="00EC47B6" w:rsidRDefault="00803856" w:rsidP="00803856">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02A57" w:rsidRPr="00C02A57">
      <w:rPr>
        <w:rFonts w:cs="Arial"/>
        <w:noProof/>
        <w:sz w:val="16"/>
        <w:szCs w:val="16"/>
      </w:rPr>
      <w:t>bexarotene-Targretin</w:t>
    </w:r>
    <w:r w:rsidR="00C02A57">
      <w:rPr>
        <w:rFonts w:cs="Arial"/>
        <w:noProof/>
        <w:snapToGrid w:val="0"/>
        <w:color w:val="000000"/>
        <w:sz w:val="16"/>
        <w:szCs w:val="16"/>
      </w:rPr>
      <w:t xml:space="preserve"> SGM 1795-A</w:t>
    </w:r>
    <w:r w:rsidR="00C02A57" w:rsidRPr="00C02A57">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E073B">
      <w:rPr>
        <w:rFonts w:cs="Arial"/>
        <w:snapToGrid w:val="0"/>
        <w:color w:val="000000"/>
        <w:sz w:val="16"/>
      </w:rPr>
      <w:t>5</w:t>
    </w:r>
    <w:r w:rsidRPr="00EC47B6">
      <w:rPr>
        <w:rFonts w:cs="Arial"/>
        <w:snapToGrid w:val="0"/>
        <w:color w:val="000000"/>
        <w:sz w:val="16"/>
      </w:rPr>
      <w:t xml:space="preserve"> CVS Caremark. All rights reserved.</w:t>
    </w:r>
  </w:p>
  <w:p w14:paraId="32377DB2" w14:textId="7005B044" w:rsidR="00803856" w:rsidRPr="00EC47B6" w:rsidRDefault="00803856" w:rsidP="00803856">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D232614" w14:textId="51608D00" w:rsidR="00803856" w:rsidRPr="00AA1E6A" w:rsidRDefault="00803856" w:rsidP="009A389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4610F" w14:textId="02BAD1EE" w:rsidR="00803856" w:rsidRPr="00EC47B6" w:rsidRDefault="00803856" w:rsidP="00803856">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02A57" w:rsidRPr="00C02A57">
      <w:rPr>
        <w:rFonts w:cs="Arial"/>
        <w:noProof/>
        <w:sz w:val="16"/>
        <w:szCs w:val="16"/>
      </w:rPr>
      <w:t>bexarotene-Targretin</w:t>
    </w:r>
    <w:r w:rsidR="00C02A57">
      <w:rPr>
        <w:rFonts w:cs="Arial"/>
        <w:noProof/>
        <w:snapToGrid w:val="0"/>
        <w:color w:val="000000"/>
        <w:sz w:val="16"/>
        <w:szCs w:val="16"/>
      </w:rPr>
      <w:t xml:space="preserve"> SGM 1795-A</w:t>
    </w:r>
    <w:r w:rsidR="00C02A57" w:rsidRPr="00C02A57">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E073B">
      <w:rPr>
        <w:rFonts w:cs="Arial"/>
        <w:snapToGrid w:val="0"/>
        <w:color w:val="000000"/>
        <w:sz w:val="16"/>
      </w:rPr>
      <w:t>5</w:t>
    </w:r>
    <w:r w:rsidRPr="00EC47B6">
      <w:rPr>
        <w:rFonts w:cs="Arial"/>
        <w:snapToGrid w:val="0"/>
        <w:color w:val="000000"/>
        <w:sz w:val="16"/>
      </w:rPr>
      <w:t xml:space="preserve"> CVS Caremark. All rights reserved.</w:t>
    </w:r>
  </w:p>
  <w:p w14:paraId="3C9C4FC5" w14:textId="138CF734" w:rsidR="00803856" w:rsidRPr="00EC47B6" w:rsidRDefault="00803856" w:rsidP="00803856">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3190F27D" w14:textId="7885D1C0" w:rsidR="00803856" w:rsidRPr="00AA1E6A" w:rsidRDefault="00803856" w:rsidP="009A389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8</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B99EE" w14:textId="77777777" w:rsidR="003D3C0A" w:rsidRDefault="003D3C0A">
      <w:r>
        <w:separator/>
      </w:r>
    </w:p>
  </w:footnote>
  <w:footnote w:type="continuationSeparator" w:id="0">
    <w:p w14:paraId="06A621BC" w14:textId="77777777" w:rsidR="003D3C0A" w:rsidRDefault="003D3C0A">
      <w:r>
        <w:continuationSeparator/>
      </w:r>
    </w:p>
  </w:footnote>
  <w:footnote w:type="continuationNotice" w:id="1">
    <w:p w14:paraId="09E172F9" w14:textId="77777777" w:rsidR="003D3C0A" w:rsidRDefault="003D3C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776CF" w14:textId="77777777" w:rsidR="006A4BE4" w:rsidRDefault="006A4B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407881" w14:paraId="16262E63" w14:textId="77777777" w:rsidTr="0006569F">
      <w:trPr>
        <w:trHeight w:val="144"/>
        <w:jc w:val="right"/>
      </w:trPr>
      <w:tc>
        <w:tcPr>
          <w:tcW w:w="1854" w:type="dxa"/>
          <w:hideMark/>
        </w:tcPr>
        <w:p w14:paraId="18F550B7" w14:textId="77777777" w:rsidR="00ED04EC" w:rsidRPr="00407881" w:rsidRDefault="00ED04EC" w:rsidP="00ED04EC">
          <w:pPr>
            <w:pStyle w:val="Header"/>
            <w:rPr>
              <w:rFonts w:cs="Arial"/>
              <w:sz w:val="16"/>
              <w:szCs w:val="16"/>
            </w:rPr>
          </w:pPr>
          <w:r w:rsidRPr="00407881">
            <w:rPr>
              <w:rFonts w:cs="Arial"/>
              <w:sz w:val="16"/>
              <w:szCs w:val="16"/>
            </w:rPr>
            <w:t>Reference number(s)</w:t>
          </w:r>
        </w:p>
      </w:tc>
    </w:tr>
    <w:tr w:rsidR="00ED04EC" w:rsidRPr="00407881" w14:paraId="703C6588" w14:textId="77777777" w:rsidTr="0006569F">
      <w:trPr>
        <w:trHeight w:val="378"/>
        <w:jc w:val="right"/>
      </w:trPr>
      <w:tc>
        <w:tcPr>
          <w:tcW w:w="1854" w:type="dxa"/>
          <w:hideMark/>
        </w:tcPr>
        <w:p w14:paraId="51CE3E64" w14:textId="5C7F9130" w:rsidR="00ED04EC" w:rsidRPr="00407881" w:rsidRDefault="00407881" w:rsidP="00ED04EC">
          <w:pPr>
            <w:pStyle w:val="Header"/>
            <w:rPr>
              <w:rFonts w:cs="Arial"/>
              <w:sz w:val="16"/>
              <w:szCs w:val="16"/>
            </w:rPr>
          </w:pPr>
          <w:r>
            <w:rPr>
              <w:rFonts w:cs="Arial"/>
              <w:sz w:val="16"/>
              <w:szCs w:val="16"/>
            </w:rPr>
            <w:t>1795-A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6D2D5" w14:textId="77777777" w:rsidR="006A4BE4" w:rsidRDefault="006A4B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3067B5B4" w:rsidR="000F5383" w:rsidRPr="00FF66BF" w:rsidRDefault="00580310" w:rsidP="009E1F57">
          <w:pPr>
            <w:pStyle w:val="RefTableHeader"/>
          </w:pPr>
          <w:r w:rsidRPr="00A52A4B">
            <w:t>1795-A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401F30"/>
    <w:multiLevelType w:val="hybridMultilevel"/>
    <w:tmpl w:val="BC7E9FC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73D1AFC"/>
    <w:multiLevelType w:val="multilevel"/>
    <w:tmpl w:val="54FCAF3C"/>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BE410C4"/>
    <w:multiLevelType w:val="hybridMultilevel"/>
    <w:tmpl w:val="BC7E9F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5B57F8"/>
    <w:multiLevelType w:val="hybridMultilevel"/>
    <w:tmpl w:val="907ECD6E"/>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C90B35"/>
    <w:multiLevelType w:val="hybridMultilevel"/>
    <w:tmpl w:val="BC7E9FC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4861CB"/>
    <w:multiLevelType w:val="multilevel"/>
    <w:tmpl w:val="B07C32E0"/>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E2AE3"/>
    <w:multiLevelType w:val="hybridMultilevel"/>
    <w:tmpl w:val="907ECD6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FA53921"/>
    <w:multiLevelType w:val="hybridMultilevel"/>
    <w:tmpl w:val="EDFEBE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264921869">
    <w:abstractNumId w:val="11"/>
  </w:num>
  <w:num w:numId="2" w16cid:durableId="606935877">
    <w:abstractNumId w:val="27"/>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9"/>
  </w:num>
  <w:num w:numId="17" w16cid:durableId="2128498676">
    <w:abstractNumId w:val="29"/>
  </w:num>
  <w:num w:numId="18" w16cid:durableId="299724409">
    <w:abstractNumId w:val="23"/>
  </w:num>
  <w:num w:numId="19" w16cid:durableId="214585573">
    <w:abstractNumId w:val="13"/>
  </w:num>
  <w:num w:numId="20" w16cid:durableId="1289816170">
    <w:abstractNumId w:val="15"/>
  </w:num>
  <w:num w:numId="21" w16cid:durableId="1066490929">
    <w:abstractNumId w:val="31"/>
  </w:num>
  <w:num w:numId="22" w16cid:durableId="1472481103">
    <w:abstractNumId w:val="25"/>
  </w:num>
  <w:num w:numId="23" w16cid:durableId="1997420403">
    <w:abstractNumId w:val="28"/>
  </w:num>
  <w:num w:numId="24" w16cid:durableId="33312838">
    <w:abstractNumId w:val="24"/>
  </w:num>
  <w:num w:numId="25" w16cid:durableId="507404939">
    <w:abstractNumId w:val="18"/>
  </w:num>
  <w:num w:numId="26" w16cid:durableId="377820452">
    <w:abstractNumId w:val="17"/>
  </w:num>
  <w:num w:numId="27" w16cid:durableId="1889874900">
    <w:abstractNumId w:val="32"/>
  </w:num>
  <w:num w:numId="28" w16cid:durableId="2007129523">
    <w:abstractNumId w:val="26"/>
  </w:num>
  <w:num w:numId="29" w16cid:durableId="1527256612">
    <w:abstractNumId w:val="16"/>
  </w:num>
  <w:num w:numId="30" w16cid:durableId="247622434">
    <w:abstractNumId w:val="20"/>
  </w:num>
  <w:num w:numId="31" w16cid:durableId="307059038">
    <w:abstractNumId w:val="22"/>
  </w:num>
  <w:num w:numId="32" w16cid:durableId="153304718">
    <w:abstractNumId w:val="30"/>
  </w:num>
  <w:num w:numId="33" w16cid:durableId="1055004524">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9B1"/>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3FA"/>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6792D"/>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0A6"/>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BB3"/>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346"/>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689"/>
    <w:rsid w:val="002077DB"/>
    <w:rsid w:val="00207EA9"/>
    <w:rsid w:val="00210959"/>
    <w:rsid w:val="00210D41"/>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27847"/>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A2D"/>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373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1B40"/>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02B"/>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3C0A"/>
    <w:rsid w:val="003D46B0"/>
    <w:rsid w:val="003D542C"/>
    <w:rsid w:val="003D6970"/>
    <w:rsid w:val="003D6BFA"/>
    <w:rsid w:val="003D6C2D"/>
    <w:rsid w:val="003E0DBC"/>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018"/>
    <w:rsid w:val="00407881"/>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201"/>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552"/>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65B"/>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0A2"/>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1C6"/>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310"/>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51C"/>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B6E47"/>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471"/>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47"/>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02D"/>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1AC6"/>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4BE4"/>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0A68"/>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788"/>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02"/>
    <w:rsid w:val="007A1AA9"/>
    <w:rsid w:val="007A3667"/>
    <w:rsid w:val="007A56B7"/>
    <w:rsid w:val="007A5CEC"/>
    <w:rsid w:val="007A61F8"/>
    <w:rsid w:val="007A7386"/>
    <w:rsid w:val="007A7861"/>
    <w:rsid w:val="007B01B5"/>
    <w:rsid w:val="007B0229"/>
    <w:rsid w:val="007B02AE"/>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3B"/>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3856"/>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7D6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008C"/>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45E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11"/>
    <w:rsid w:val="00995A6D"/>
    <w:rsid w:val="00995DAD"/>
    <w:rsid w:val="00995F4D"/>
    <w:rsid w:val="00996726"/>
    <w:rsid w:val="00996EF4"/>
    <w:rsid w:val="009973BE"/>
    <w:rsid w:val="00997849"/>
    <w:rsid w:val="009A0FE4"/>
    <w:rsid w:val="009A1480"/>
    <w:rsid w:val="009A35FA"/>
    <w:rsid w:val="009A3892"/>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4026"/>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9AD"/>
    <w:rsid w:val="00A45E92"/>
    <w:rsid w:val="00A46FB9"/>
    <w:rsid w:val="00A47199"/>
    <w:rsid w:val="00A501AC"/>
    <w:rsid w:val="00A503F6"/>
    <w:rsid w:val="00A50452"/>
    <w:rsid w:val="00A508DC"/>
    <w:rsid w:val="00A511FF"/>
    <w:rsid w:val="00A51559"/>
    <w:rsid w:val="00A51681"/>
    <w:rsid w:val="00A51EB0"/>
    <w:rsid w:val="00A52861"/>
    <w:rsid w:val="00A52A2C"/>
    <w:rsid w:val="00A52A4B"/>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112A"/>
    <w:rsid w:val="00A923EA"/>
    <w:rsid w:val="00A93B35"/>
    <w:rsid w:val="00A94105"/>
    <w:rsid w:val="00A946C6"/>
    <w:rsid w:val="00A94A0D"/>
    <w:rsid w:val="00A9526B"/>
    <w:rsid w:val="00A96256"/>
    <w:rsid w:val="00A96A09"/>
    <w:rsid w:val="00A97B80"/>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5E56"/>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1EAC"/>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753"/>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1C"/>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659"/>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673"/>
    <w:rsid w:val="00B929CA"/>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28A"/>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A57"/>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4FA"/>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4A66"/>
    <w:rsid w:val="00C65465"/>
    <w:rsid w:val="00C65502"/>
    <w:rsid w:val="00C65CD1"/>
    <w:rsid w:val="00C675EB"/>
    <w:rsid w:val="00C676EA"/>
    <w:rsid w:val="00C700FE"/>
    <w:rsid w:val="00C7171C"/>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89F"/>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15BA"/>
    <w:rsid w:val="00CF2208"/>
    <w:rsid w:val="00CF2D11"/>
    <w:rsid w:val="00CF3649"/>
    <w:rsid w:val="00CF3A89"/>
    <w:rsid w:val="00CF3B05"/>
    <w:rsid w:val="00CF3E91"/>
    <w:rsid w:val="00CF5BAA"/>
    <w:rsid w:val="00CF634A"/>
    <w:rsid w:val="00CF71F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016"/>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3A8"/>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87EA2"/>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0F10"/>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5F3A"/>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67A40"/>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1F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399"/>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1C3"/>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05E"/>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15408880">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0375221">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2313640">
      <w:bodyDiv w:val="1"/>
      <w:marLeft w:val="0"/>
      <w:marRight w:val="0"/>
      <w:marTop w:val="0"/>
      <w:marBottom w:val="0"/>
      <w:divBdr>
        <w:top w:val="none" w:sz="0" w:space="0" w:color="auto"/>
        <w:left w:val="none" w:sz="0" w:space="0" w:color="auto"/>
        <w:bottom w:val="none" w:sz="0" w:space="0" w:color="auto"/>
        <w:right w:val="none" w:sz="0" w:space="0" w:color="auto"/>
      </w:divBdr>
      <w:divsChild>
        <w:div w:id="1871793232">
          <w:marLeft w:val="0"/>
          <w:marRight w:val="0"/>
          <w:marTop w:val="0"/>
          <w:marBottom w:val="0"/>
          <w:divBdr>
            <w:top w:val="none" w:sz="0" w:space="0" w:color="auto"/>
            <w:left w:val="none" w:sz="0" w:space="0" w:color="auto"/>
            <w:bottom w:val="none" w:sz="0" w:space="0" w:color="auto"/>
            <w:right w:val="none" w:sz="0" w:space="0" w:color="auto"/>
          </w:divBdr>
        </w:div>
        <w:div w:id="261645087">
          <w:marLeft w:val="0"/>
          <w:marRight w:val="0"/>
          <w:marTop w:val="0"/>
          <w:marBottom w:val="0"/>
          <w:divBdr>
            <w:top w:val="none" w:sz="0" w:space="0" w:color="auto"/>
            <w:left w:val="none" w:sz="0" w:space="0" w:color="auto"/>
            <w:bottom w:val="none" w:sz="0" w:space="0" w:color="auto"/>
            <w:right w:val="none" w:sz="0" w:space="0" w:color="auto"/>
          </w:divBdr>
        </w:div>
        <w:div w:id="1182469350">
          <w:marLeft w:val="0"/>
          <w:marRight w:val="0"/>
          <w:marTop w:val="0"/>
          <w:marBottom w:val="0"/>
          <w:divBdr>
            <w:top w:val="none" w:sz="0" w:space="0" w:color="auto"/>
            <w:left w:val="none" w:sz="0" w:space="0" w:color="auto"/>
            <w:bottom w:val="none" w:sz="0" w:space="0" w:color="auto"/>
            <w:right w:val="none" w:sz="0" w:space="0" w:color="auto"/>
          </w:divBdr>
        </w:div>
        <w:div w:id="1213881068">
          <w:marLeft w:val="0"/>
          <w:marRight w:val="0"/>
          <w:marTop w:val="0"/>
          <w:marBottom w:val="0"/>
          <w:divBdr>
            <w:top w:val="none" w:sz="0" w:space="0" w:color="auto"/>
            <w:left w:val="none" w:sz="0" w:space="0" w:color="auto"/>
            <w:bottom w:val="none" w:sz="0" w:space="0" w:color="auto"/>
            <w:right w:val="none" w:sz="0" w:space="0" w:color="auto"/>
          </w:divBdr>
        </w:div>
        <w:div w:id="978455550">
          <w:marLeft w:val="0"/>
          <w:marRight w:val="0"/>
          <w:marTop w:val="0"/>
          <w:marBottom w:val="0"/>
          <w:divBdr>
            <w:top w:val="none" w:sz="0" w:space="0" w:color="auto"/>
            <w:left w:val="none" w:sz="0" w:space="0" w:color="auto"/>
            <w:bottom w:val="none" w:sz="0" w:space="0" w:color="auto"/>
            <w:right w:val="none" w:sz="0" w:space="0" w:color="auto"/>
          </w:divBdr>
        </w:div>
        <w:div w:id="418872119">
          <w:marLeft w:val="0"/>
          <w:marRight w:val="0"/>
          <w:marTop w:val="0"/>
          <w:marBottom w:val="0"/>
          <w:divBdr>
            <w:top w:val="none" w:sz="0" w:space="0" w:color="auto"/>
            <w:left w:val="none" w:sz="0" w:space="0" w:color="auto"/>
            <w:bottom w:val="none" w:sz="0" w:space="0" w:color="auto"/>
            <w:right w:val="none" w:sz="0" w:space="0" w:color="auto"/>
          </w:divBdr>
        </w:div>
        <w:div w:id="1380785668">
          <w:marLeft w:val="0"/>
          <w:marRight w:val="0"/>
          <w:marTop w:val="0"/>
          <w:marBottom w:val="0"/>
          <w:divBdr>
            <w:top w:val="none" w:sz="0" w:space="0" w:color="auto"/>
            <w:left w:val="none" w:sz="0" w:space="0" w:color="auto"/>
            <w:bottom w:val="none" w:sz="0" w:space="0" w:color="auto"/>
            <w:right w:val="none" w:sz="0" w:space="0" w:color="auto"/>
          </w:divBdr>
        </w:div>
        <w:div w:id="986474602">
          <w:marLeft w:val="0"/>
          <w:marRight w:val="0"/>
          <w:marTop w:val="0"/>
          <w:marBottom w:val="0"/>
          <w:divBdr>
            <w:top w:val="none" w:sz="0" w:space="0" w:color="auto"/>
            <w:left w:val="none" w:sz="0" w:space="0" w:color="auto"/>
            <w:bottom w:val="none" w:sz="0" w:space="0" w:color="auto"/>
            <w:right w:val="none" w:sz="0" w:space="0" w:color="auto"/>
          </w:divBdr>
        </w:div>
        <w:div w:id="1469863650">
          <w:marLeft w:val="0"/>
          <w:marRight w:val="0"/>
          <w:marTop w:val="0"/>
          <w:marBottom w:val="0"/>
          <w:divBdr>
            <w:top w:val="none" w:sz="0" w:space="0" w:color="auto"/>
            <w:left w:val="none" w:sz="0" w:space="0" w:color="auto"/>
            <w:bottom w:val="none" w:sz="0" w:space="0" w:color="auto"/>
            <w:right w:val="none" w:sz="0" w:space="0" w:color="auto"/>
          </w:divBdr>
        </w:div>
        <w:div w:id="652099067">
          <w:marLeft w:val="0"/>
          <w:marRight w:val="0"/>
          <w:marTop w:val="0"/>
          <w:marBottom w:val="0"/>
          <w:divBdr>
            <w:top w:val="none" w:sz="0" w:space="0" w:color="auto"/>
            <w:left w:val="none" w:sz="0" w:space="0" w:color="auto"/>
            <w:bottom w:val="none" w:sz="0" w:space="0" w:color="auto"/>
            <w:right w:val="none" w:sz="0" w:space="0" w:color="auto"/>
          </w:divBdr>
        </w:div>
        <w:div w:id="1978879018">
          <w:marLeft w:val="0"/>
          <w:marRight w:val="0"/>
          <w:marTop w:val="0"/>
          <w:marBottom w:val="0"/>
          <w:divBdr>
            <w:top w:val="none" w:sz="0" w:space="0" w:color="auto"/>
            <w:left w:val="none" w:sz="0" w:space="0" w:color="auto"/>
            <w:bottom w:val="none" w:sz="0" w:space="0" w:color="auto"/>
            <w:right w:val="none" w:sz="0" w:space="0" w:color="auto"/>
          </w:divBdr>
        </w:div>
        <w:div w:id="1393501092">
          <w:marLeft w:val="0"/>
          <w:marRight w:val="0"/>
          <w:marTop w:val="0"/>
          <w:marBottom w:val="0"/>
          <w:divBdr>
            <w:top w:val="none" w:sz="0" w:space="0" w:color="auto"/>
            <w:left w:val="none" w:sz="0" w:space="0" w:color="auto"/>
            <w:bottom w:val="none" w:sz="0" w:space="0" w:color="auto"/>
            <w:right w:val="none" w:sz="0" w:space="0" w:color="auto"/>
          </w:divBdr>
        </w:div>
        <w:div w:id="531458006">
          <w:marLeft w:val="0"/>
          <w:marRight w:val="0"/>
          <w:marTop w:val="0"/>
          <w:marBottom w:val="0"/>
          <w:divBdr>
            <w:top w:val="none" w:sz="0" w:space="0" w:color="auto"/>
            <w:left w:val="none" w:sz="0" w:space="0" w:color="auto"/>
            <w:bottom w:val="none" w:sz="0" w:space="0" w:color="auto"/>
            <w:right w:val="none" w:sz="0" w:space="0" w:color="auto"/>
          </w:divBdr>
        </w:div>
      </w:divsChild>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84981907">
      <w:bodyDiv w:val="1"/>
      <w:marLeft w:val="0"/>
      <w:marRight w:val="0"/>
      <w:marTop w:val="0"/>
      <w:marBottom w:val="0"/>
      <w:divBdr>
        <w:top w:val="none" w:sz="0" w:space="0" w:color="auto"/>
        <w:left w:val="none" w:sz="0" w:space="0" w:color="auto"/>
        <w:bottom w:val="none" w:sz="0" w:space="0" w:color="auto"/>
        <w:right w:val="none" w:sz="0" w:space="0" w:color="auto"/>
      </w:divBdr>
      <w:divsChild>
        <w:div w:id="1752048536">
          <w:marLeft w:val="0"/>
          <w:marRight w:val="0"/>
          <w:marTop w:val="0"/>
          <w:marBottom w:val="0"/>
          <w:divBdr>
            <w:top w:val="none" w:sz="0" w:space="0" w:color="auto"/>
            <w:left w:val="none" w:sz="0" w:space="0" w:color="auto"/>
            <w:bottom w:val="none" w:sz="0" w:space="0" w:color="auto"/>
            <w:right w:val="none" w:sz="0" w:space="0" w:color="auto"/>
          </w:divBdr>
        </w:div>
        <w:div w:id="486552375">
          <w:marLeft w:val="0"/>
          <w:marRight w:val="0"/>
          <w:marTop w:val="0"/>
          <w:marBottom w:val="0"/>
          <w:divBdr>
            <w:top w:val="none" w:sz="0" w:space="0" w:color="auto"/>
            <w:left w:val="none" w:sz="0" w:space="0" w:color="auto"/>
            <w:bottom w:val="none" w:sz="0" w:space="0" w:color="auto"/>
            <w:right w:val="none" w:sz="0" w:space="0" w:color="auto"/>
          </w:divBdr>
        </w:div>
        <w:div w:id="1276522735">
          <w:marLeft w:val="0"/>
          <w:marRight w:val="0"/>
          <w:marTop w:val="0"/>
          <w:marBottom w:val="0"/>
          <w:divBdr>
            <w:top w:val="none" w:sz="0" w:space="0" w:color="auto"/>
            <w:left w:val="none" w:sz="0" w:space="0" w:color="auto"/>
            <w:bottom w:val="none" w:sz="0" w:space="0" w:color="auto"/>
            <w:right w:val="none" w:sz="0" w:space="0" w:color="auto"/>
          </w:divBdr>
        </w:div>
        <w:div w:id="1609119303">
          <w:marLeft w:val="0"/>
          <w:marRight w:val="0"/>
          <w:marTop w:val="0"/>
          <w:marBottom w:val="0"/>
          <w:divBdr>
            <w:top w:val="none" w:sz="0" w:space="0" w:color="auto"/>
            <w:left w:val="none" w:sz="0" w:space="0" w:color="auto"/>
            <w:bottom w:val="none" w:sz="0" w:space="0" w:color="auto"/>
            <w:right w:val="none" w:sz="0" w:space="0" w:color="auto"/>
          </w:divBdr>
        </w:div>
        <w:div w:id="1547258713">
          <w:marLeft w:val="0"/>
          <w:marRight w:val="0"/>
          <w:marTop w:val="0"/>
          <w:marBottom w:val="0"/>
          <w:divBdr>
            <w:top w:val="none" w:sz="0" w:space="0" w:color="auto"/>
            <w:left w:val="none" w:sz="0" w:space="0" w:color="auto"/>
            <w:bottom w:val="none" w:sz="0" w:space="0" w:color="auto"/>
            <w:right w:val="none" w:sz="0" w:space="0" w:color="auto"/>
          </w:divBdr>
        </w:div>
      </w:divsChild>
    </w:div>
    <w:div w:id="1195000180">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08205258">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690520799">
      <w:bodyDiv w:val="1"/>
      <w:marLeft w:val="0"/>
      <w:marRight w:val="0"/>
      <w:marTop w:val="0"/>
      <w:marBottom w:val="0"/>
      <w:divBdr>
        <w:top w:val="none" w:sz="0" w:space="0" w:color="auto"/>
        <w:left w:val="none" w:sz="0" w:space="0" w:color="auto"/>
        <w:bottom w:val="none" w:sz="0" w:space="0" w:color="auto"/>
        <w:right w:val="none" w:sz="0" w:space="0" w:color="auto"/>
      </w:divBdr>
      <w:divsChild>
        <w:div w:id="2020810618">
          <w:marLeft w:val="0"/>
          <w:marRight w:val="0"/>
          <w:marTop w:val="0"/>
          <w:marBottom w:val="0"/>
          <w:divBdr>
            <w:top w:val="none" w:sz="0" w:space="0" w:color="auto"/>
            <w:left w:val="none" w:sz="0" w:space="0" w:color="auto"/>
            <w:bottom w:val="none" w:sz="0" w:space="0" w:color="auto"/>
            <w:right w:val="none" w:sz="0" w:space="0" w:color="auto"/>
          </w:divBdr>
          <w:divsChild>
            <w:div w:id="1860967933">
              <w:marLeft w:val="0"/>
              <w:marRight w:val="0"/>
              <w:marTop w:val="0"/>
              <w:marBottom w:val="0"/>
              <w:divBdr>
                <w:top w:val="none" w:sz="0" w:space="0" w:color="auto"/>
                <w:left w:val="none" w:sz="0" w:space="0" w:color="auto"/>
                <w:bottom w:val="none" w:sz="0" w:space="0" w:color="auto"/>
                <w:right w:val="none" w:sz="0" w:space="0" w:color="auto"/>
              </w:divBdr>
            </w:div>
            <w:div w:id="981886336">
              <w:marLeft w:val="0"/>
              <w:marRight w:val="0"/>
              <w:marTop w:val="0"/>
              <w:marBottom w:val="0"/>
              <w:divBdr>
                <w:top w:val="none" w:sz="0" w:space="0" w:color="auto"/>
                <w:left w:val="none" w:sz="0" w:space="0" w:color="auto"/>
                <w:bottom w:val="none" w:sz="0" w:space="0" w:color="auto"/>
                <w:right w:val="none" w:sz="0" w:space="0" w:color="auto"/>
              </w:divBdr>
            </w:div>
          </w:divsChild>
        </w:div>
        <w:div w:id="1555659494">
          <w:marLeft w:val="0"/>
          <w:marRight w:val="0"/>
          <w:marTop w:val="0"/>
          <w:marBottom w:val="0"/>
          <w:divBdr>
            <w:top w:val="none" w:sz="0" w:space="0" w:color="auto"/>
            <w:left w:val="none" w:sz="0" w:space="0" w:color="auto"/>
            <w:bottom w:val="none" w:sz="0" w:space="0" w:color="auto"/>
            <w:right w:val="none" w:sz="0" w:space="0" w:color="auto"/>
          </w:divBdr>
          <w:divsChild>
            <w:div w:id="730350870">
              <w:marLeft w:val="0"/>
              <w:marRight w:val="0"/>
              <w:marTop w:val="0"/>
              <w:marBottom w:val="0"/>
              <w:divBdr>
                <w:top w:val="none" w:sz="0" w:space="0" w:color="auto"/>
                <w:left w:val="none" w:sz="0" w:space="0" w:color="auto"/>
                <w:bottom w:val="none" w:sz="0" w:space="0" w:color="auto"/>
                <w:right w:val="none" w:sz="0" w:space="0" w:color="auto"/>
              </w:divBdr>
            </w:div>
            <w:div w:id="156189044">
              <w:marLeft w:val="0"/>
              <w:marRight w:val="0"/>
              <w:marTop w:val="0"/>
              <w:marBottom w:val="0"/>
              <w:divBdr>
                <w:top w:val="none" w:sz="0" w:space="0" w:color="auto"/>
                <w:left w:val="none" w:sz="0" w:space="0" w:color="auto"/>
                <w:bottom w:val="none" w:sz="0" w:space="0" w:color="auto"/>
                <w:right w:val="none" w:sz="0" w:space="0" w:color="auto"/>
              </w:divBdr>
            </w:div>
            <w:div w:id="339704148">
              <w:marLeft w:val="0"/>
              <w:marRight w:val="0"/>
              <w:marTop w:val="0"/>
              <w:marBottom w:val="0"/>
              <w:divBdr>
                <w:top w:val="none" w:sz="0" w:space="0" w:color="auto"/>
                <w:left w:val="none" w:sz="0" w:space="0" w:color="auto"/>
                <w:bottom w:val="none" w:sz="0" w:space="0" w:color="auto"/>
                <w:right w:val="none" w:sz="0" w:space="0" w:color="auto"/>
              </w:divBdr>
            </w:div>
            <w:div w:id="734089387">
              <w:marLeft w:val="0"/>
              <w:marRight w:val="0"/>
              <w:marTop w:val="0"/>
              <w:marBottom w:val="0"/>
              <w:divBdr>
                <w:top w:val="none" w:sz="0" w:space="0" w:color="auto"/>
                <w:left w:val="none" w:sz="0" w:space="0" w:color="auto"/>
                <w:bottom w:val="none" w:sz="0" w:space="0" w:color="auto"/>
                <w:right w:val="none" w:sz="0" w:space="0" w:color="auto"/>
              </w:divBdr>
            </w:div>
            <w:div w:id="1312055113">
              <w:marLeft w:val="0"/>
              <w:marRight w:val="0"/>
              <w:marTop w:val="0"/>
              <w:marBottom w:val="0"/>
              <w:divBdr>
                <w:top w:val="none" w:sz="0" w:space="0" w:color="auto"/>
                <w:left w:val="none" w:sz="0" w:space="0" w:color="auto"/>
                <w:bottom w:val="none" w:sz="0" w:space="0" w:color="auto"/>
                <w:right w:val="none" w:sz="0" w:space="0" w:color="auto"/>
              </w:divBdr>
            </w:div>
            <w:div w:id="1401244043">
              <w:marLeft w:val="0"/>
              <w:marRight w:val="0"/>
              <w:marTop w:val="0"/>
              <w:marBottom w:val="0"/>
              <w:divBdr>
                <w:top w:val="none" w:sz="0" w:space="0" w:color="auto"/>
                <w:left w:val="none" w:sz="0" w:space="0" w:color="auto"/>
                <w:bottom w:val="none" w:sz="0" w:space="0" w:color="auto"/>
                <w:right w:val="none" w:sz="0" w:space="0" w:color="auto"/>
              </w:divBdr>
            </w:div>
            <w:div w:id="620721607">
              <w:marLeft w:val="0"/>
              <w:marRight w:val="0"/>
              <w:marTop w:val="0"/>
              <w:marBottom w:val="0"/>
              <w:divBdr>
                <w:top w:val="none" w:sz="0" w:space="0" w:color="auto"/>
                <w:left w:val="none" w:sz="0" w:space="0" w:color="auto"/>
                <w:bottom w:val="none" w:sz="0" w:space="0" w:color="auto"/>
                <w:right w:val="none" w:sz="0" w:space="0" w:color="auto"/>
              </w:divBdr>
            </w:div>
            <w:div w:id="1880163264">
              <w:marLeft w:val="0"/>
              <w:marRight w:val="0"/>
              <w:marTop w:val="0"/>
              <w:marBottom w:val="0"/>
              <w:divBdr>
                <w:top w:val="none" w:sz="0" w:space="0" w:color="auto"/>
                <w:left w:val="none" w:sz="0" w:space="0" w:color="auto"/>
                <w:bottom w:val="none" w:sz="0" w:space="0" w:color="auto"/>
                <w:right w:val="none" w:sz="0" w:space="0" w:color="auto"/>
              </w:divBdr>
            </w:div>
            <w:div w:id="1412309827">
              <w:marLeft w:val="0"/>
              <w:marRight w:val="0"/>
              <w:marTop w:val="0"/>
              <w:marBottom w:val="0"/>
              <w:divBdr>
                <w:top w:val="none" w:sz="0" w:space="0" w:color="auto"/>
                <w:left w:val="none" w:sz="0" w:space="0" w:color="auto"/>
                <w:bottom w:val="none" w:sz="0" w:space="0" w:color="auto"/>
                <w:right w:val="none" w:sz="0" w:space="0" w:color="auto"/>
              </w:divBdr>
            </w:div>
            <w:div w:id="251089139">
              <w:marLeft w:val="0"/>
              <w:marRight w:val="0"/>
              <w:marTop w:val="0"/>
              <w:marBottom w:val="0"/>
              <w:divBdr>
                <w:top w:val="none" w:sz="0" w:space="0" w:color="auto"/>
                <w:left w:val="none" w:sz="0" w:space="0" w:color="auto"/>
                <w:bottom w:val="none" w:sz="0" w:space="0" w:color="auto"/>
                <w:right w:val="none" w:sz="0" w:space="0" w:color="auto"/>
              </w:divBdr>
            </w:div>
            <w:div w:id="212084351">
              <w:marLeft w:val="0"/>
              <w:marRight w:val="0"/>
              <w:marTop w:val="0"/>
              <w:marBottom w:val="0"/>
              <w:divBdr>
                <w:top w:val="none" w:sz="0" w:space="0" w:color="auto"/>
                <w:left w:val="none" w:sz="0" w:space="0" w:color="auto"/>
                <w:bottom w:val="none" w:sz="0" w:space="0" w:color="auto"/>
                <w:right w:val="none" w:sz="0" w:space="0" w:color="auto"/>
              </w:divBdr>
            </w:div>
            <w:div w:id="1881354611">
              <w:marLeft w:val="0"/>
              <w:marRight w:val="0"/>
              <w:marTop w:val="0"/>
              <w:marBottom w:val="0"/>
              <w:divBdr>
                <w:top w:val="none" w:sz="0" w:space="0" w:color="auto"/>
                <w:left w:val="none" w:sz="0" w:space="0" w:color="auto"/>
                <w:bottom w:val="none" w:sz="0" w:space="0" w:color="auto"/>
                <w:right w:val="none" w:sz="0" w:space="0" w:color="auto"/>
              </w:divBdr>
            </w:div>
            <w:div w:id="1697542829">
              <w:marLeft w:val="0"/>
              <w:marRight w:val="0"/>
              <w:marTop w:val="0"/>
              <w:marBottom w:val="0"/>
              <w:divBdr>
                <w:top w:val="none" w:sz="0" w:space="0" w:color="auto"/>
                <w:left w:val="none" w:sz="0" w:space="0" w:color="auto"/>
                <w:bottom w:val="none" w:sz="0" w:space="0" w:color="auto"/>
                <w:right w:val="none" w:sz="0" w:space="0" w:color="auto"/>
              </w:divBdr>
            </w:div>
            <w:div w:id="186964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EF45EFD7-34AE-4627-B53A-EF4EECE37818}"/>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474</Words>
  <Characters>3093</Characters>
  <Application>Microsoft Office Word</Application>
  <DocSecurity>0</DocSecurity>
  <Lines>73</Lines>
  <Paragraphs>62</Paragraphs>
  <ScaleCrop>false</ScaleCrop>
  <HeadingPairs>
    <vt:vector size="2" baseType="variant">
      <vt:variant>
        <vt:lpstr>Title</vt:lpstr>
      </vt:variant>
      <vt:variant>
        <vt:i4>1</vt:i4>
      </vt:variant>
    </vt:vector>
  </HeadingPairs>
  <TitlesOfParts>
    <vt:vector size="1" baseType="lpstr">
      <vt:lpstr>bexarotene-Targretin 1795-A SGM 2024</vt:lpstr>
    </vt:vector>
  </TitlesOfParts>
  <Company>PCS Health Systems</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bexarotene-Targretin SGM 1795-A</dc:title>
  <dc:subject/>
  <dc:creator>CVS Caremark</dc:creator>
  <cp:keywords/>
  <cp:lastModifiedBy>Huerta, Linda M</cp:lastModifiedBy>
  <cp:revision>5</cp:revision>
  <cp:lastPrinted>2024-04-08T11:09:00Z</cp:lastPrinted>
  <dcterms:created xsi:type="dcterms:W3CDTF">2025-04-22T16:40:00Z</dcterms:created>
  <dcterms:modified xsi:type="dcterms:W3CDTF">2025-04-22T17:04:00Z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944900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